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Valorización de residuos de maples de huevos mediante el desarrollo de un sistema constructivo sustentable con prestaciones térmicas y acústicas</w:t>
      </w:r>
      <w:r w:rsidDel="00000000" w:rsidR="00000000" w:rsidRPr="00000000">
        <w:rPr>
          <w:rFonts w:ascii="Calibri" w:cs="Calibri" w:eastAsia="Calibri" w:hAnsi="Calibri"/>
          <w:b w:val="1"/>
          <w:bCs w:val="1"/>
          <w:sz w:val="28"/>
          <w:szCs w:val="28"/>
          <w:rtl w:val="0"/>
        </w:rPr>
        <w:t xml:space="preserve">.</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2">
      <w:pPr>
        <w:jc w:val="both"/>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0"/>
          <w:szCs w:val="20"/>
          <w:vertAlign w:val="superscript"/>
        </w:rPr>
      </w:pPr>
      <w:r w:rsidDel="00000000" w:rsidR="00000000" w:rsidRPr="00000000">
        <w:rPr>
          <w:rFonts w:ascii="Calibri" w:cs="Calibri" w:eastAsia="Calibri" w:hAnsi="Calibri"/>
          <w:b w:val="1"/>
          <w:bCs w:val="1"/>
          <w:sz w:val="20"/>
          <w:szCs w:val="20"/>
          <w:vertAlign w:val="baseline"/>
          <w:rtl w:val="0"/>
        </w:rPr>
        <w:t xml:space="preserve"> Auto</w:t>
      </w:r>
      <w:r w:rsidDel="00000000" w:rsidR="00000000" w:rsidRPr="00000000">
        <w:rPr>
          <w:rFonts w:ascii="Calibri" w:cs="Calibri" w:eastAsia="Calibri" w:hAnsi="Calibri"/>
          <w:b w:val="1"/>
          <w:bCs w:val="1"/>
          <w:sz w:val="20"/>
          <w:szCs w:val="20"/>
          <w:rtl w:val="0"/>
        </w:rPr>
        <w:t xml:space="preserve">r: Jose Daniel Fernandez (4to año en Licenciatura en Diseño Industrial en curso)</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i w:val="0"/>
          <w:iCs w:val="0"/>
          <w:sz w:val="20"/>
          <w:szCs w:val="20"/>
          <w:vertAlign w:val="baseline"/>
        </w:rPr>
      </w:pPr>
      <w:r w:rsidDel="00000000" w:rsidR="00000000" w:rsidRPr="00000000">
        <w:rPr>
          <w:rFonts w:ascii="Calibri" w:cs="Calibri" w:eastAsia="Calibri" w:hAnsi="Calibri"/>
          <w:i w:val="1"/>
          <w:iCs w:val="1"/>
          <w:sz w:val="20"/>
          <w:szCs w:val="20"/>
          <w:vertAlign w:val="baseline"/>
          <w:rtl w:val="0"/>
        </w:rPr>
        <w:t xml:space="preserve">Universidad </w:t>
      </w:r>
      <w:r w:rsidDel="00000000" w:rsidR="00000000" w:rsidRPr="00000000">
        <w:rPr>
          <w:rFonts w:ascii="Calibri" w:cs="Calibri" w:eastAsia="Calibri" w:hAnsi="Calibri"/>
          <w:i w:val="1"/>
          <w:iCs w:val="1"/>
          <w:sz w:val="20"/>
          <w:szCs w:val="20"/>
          <w:rtl w:val="0"/>
        </w:rPr>
        <w:t xml:space="preserve">Nacional del Nordeste</w:t>
      </w:r>
      <w:r w:rsidDel="00000000" w:rsidR="00000000" w:rsidRPr="00000000">
        <w:rPr>
          <w:rFonts w:ascii="Calibri" w:cs="Calibri" w:eastAsia="Calibri" w:hAnsi="Calibri"/>
          <w:i w:val="1"/>
          <w:iCs w:val="1"/>
          <w:sz w:val="20"/>
          <w:szCs w:val="20"/>
          <w:vertAlign w:val="baseline"/>
          <w:rtl w:val="0"/>
        </w:rPr>
        <w:t xml:space="preserve">, Facultad </w:t>
      </w:r>
      <w:r w:rsidDel="00000000" w:rsidR="00000000" w:rsidRPr="00000000">
        <w:rPr>
          <w:rFonts w:ascii="Calibri" w:cs="Calibri" w:eastAsia="Calibri" w:hAnsi="Calibri"/>
          <w:i w:val="1"/>
          <w:iCs w:val="1"/>
          <w:sz w:val="20"/>
          <w:szCs w:val="20"/>
          <w:rtl w:val="0"/>
        </w:rPr>
        <w:t xml:space="preserve">de Arquitectura y Urbanismo</w:t>
      </w:r>
      <w:r w:rsidDel="00000000" w:rsidR="00000000" w:rsidRPr="00000000">
        <w:rPr>
          <w:rFonts w:ascii="Calibri" w:cs="Calibri" w:eastAsia="Calibri" w:hAnsi="Calibri"/>
          <w:i w:val="1"/>
          <w:iCs w:val="1"/>
          <w:sz w:val="20"/>
          <w:szCs w:val="20"/>
          <w:vertAlign w:val="baseline"/>
          <w:rtl w:val="0"/>
        </w:rPr>
        <w:t xml:space="preserve">, Resistencia-Chaco</w:t>
      </w: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0"/>
          <w:iCs w:val="0"/>
          <w:sz w:val="22"/>
          <w:szCs w:val="22"/>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Resumen</w:t>
      </w:r>
    </w:p>
    <w:p w:rsidR="00000000" w:rsidDel="00000000" w:rsidP="00000000" w:rsidRDefault="00000000" w:rsidRPr="00000000" w14:paraId="00000007">
      <w:pPr>
        <w:ind w:left="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La gestión de residuos celulósicos representa un desafío ambiental creciente debido a la elevada cantidad de materiales descartados que terminan en basurales o rellenos sanitarios. Este trabajo presenta el desarrollo de un sistema constructivo sustentable basado en la valorización de maples de huevos reciclados para la fabricación de ladrillos macizos y un mortero ecológico actualmente en desarrollo. El proceso emplea un aglutinante de origen natural compuesto por harina de almidón de mandioca, bicarbonato de sodio, vinagre blanco y agua, evitando el uso de adhesivos sintéticos. Los ladrillos fueron caracterizados mediante ensayos realizados bajo normas IRAM y ASTM, obteniendo propiedades favorables de aislamiento térmico y acústico, además de una resistencia adecuada para elementos de cerramiento no portantes. La propuesta promueve la economía circular mediante la transformación de residuos urbanos en materiales de construcción con potencial aplicación en edificaciones sustentables. </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0"/>
          <w:bCs w:val="0"/>
          <w:sz w:val="22"/>
          <w:szCs w:val="22"/>
          <w:vertAlign w:val="baseline"/>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Palabras clave</w:t>
      </w:r>
      <w:r w:rsidDel="00000000" w:rsidR="00000000" w:rsidRPr="00000000">
        <w:rPr>
          <w:rFonts w:ascii="Calibri" w:cs="Calibri" w:eastAsia="Calibri" w:hAnsi="Calibri"/>
          <w:sz w:val="22"/>
          <w:szCs w:val="22"/>
          <w:vertAlign w:val="baseline"/>
          <w:rtl w:val="0"/>
        </w:rPr>
        <w:t xml:space="preserve">:</w:t>
      </w:r>
      <w:r w:rsidDel="00000000" w:rsidR="00000000" w:rsidRPr="00000000">
        <w:rPr>
          <w:rFonts w:ascii="Calibri" w:cs="Calibri" w:eastAsia="Calibri" w:hAnsi="Calibri"/>
          <w:sz w:val="22"/>
          <w:szCs w:val="22"/>
          <w:rtl w:val="0"/>
        </w:rPr>
        <w:t xml:space="preserve">Economía circular, residuos celulósicos, construcción sustentable, ladrillos ecológicos, aislamiento térmico. </w:t>
      </w:r>
      <w:r w:rsidDel="00000000" w:rsidR="00000000" w:rsidRPr="00000000">
        <w:rPr>
          <w:rtl w:val="0"/>
        </w:rPr>
      </w:r>
    </w:p>
    <w:p w:rsidR="00000000" w:rsidDel="00000000" w:rsidP="00000000" w:rsidRDefault="00000000" w:rsidRPr="00000000" w14:paraId="0000000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85"/>
        </w:tabs>
        <w:spacing w:after="0" w:before="0" w:line="240" w:lineRule="auto"/>
        <w:ind w:left="0" w:right="0"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Introducción</w:t>
        <w:tab/>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85"/>
        </w:tabs>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construcción sostenible constituye una de las estrategias más relevantes para disminuir el impacto ambiental asociado al consumo de materias primas y a la generación de residuos. Entre los residuos urbanos de mayor disponibilidad se encuentran los maples de huevos fabricados con fibras celulósicas recicladas, los cuales, una vez utilizados, generalmente son descartados sin recibir una valorización posterior.</w:t>
      </w:r>
    </w:p>
    <w:p w:rsidR="00000000" w:rsidDel="00000000" w:rsidP="00000000" w:rsidRDefault="00000000" w:rsidRPr="00000000" w14:paraId="0000000D">
      <w:pPr>
        <w:shd w:fill="ffffff" w:val="clea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presente trabajo propone transformar este residuo en un sistema constructivo sustentable compuesto por ladrillos macizos y un mortero ecológico elaborado con la misma materia prima reciclada, promoviendo la economía circular mediante la reincorporación de residuos al ciclo productivo.</w:t>
      </w:r>
    </w:p>
    <w:p w:rsidR="00000000" w:rsidDel="00000000" w:rsidP="00000000" w:rsidRDefault="00000000" w:rsidRPr="00000000" w14:paraId="0000000E">
      <w:pPr>
        <w:shd w:fill="ffffff" w:val="clea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ensayos experimentales realizados permitieron evaluar las propiedades mecánicas, térmicas y acústicas del ladrillo desarrollado, aportando evidencia técnica para su utilización en aplicaciones de cerramiento y aislación.</w:t>
      </w:r>
    </w:p>
    <w:p w:rsidR="00000000" w:rsidDel="00000000" w:rsidP="00000000" w:rsidRDefault="00000000" w:rsidRPr="00000000" w14:paraId="0000000F">
      <w:pPr>
        <w:shd w:fill="ffffff" w:val="clear"/>
        <w:jc w:val="both"/>
        <w:rPr>
          <w:rFonts w:ascii="Calibri" w:cs="Calibri" w:eastAsia="Calibri" w:hAnsi="Calibri"/>
          <w:b w:val="1"/>
          <w:bCs w:val="1"/>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Figura 1.Fotos</w:t>
      </w:r>
    </w:p>
    <w:p w:rsidR="00000000" w:rsidDel="00000000" w:rsidP="00000000" w:rsidRDefault="00000000" w:rsidRPr="00000000" w14:paraId="00000010">
      <w:pPr>
        <w:shd w:fill="ffffff" w:val="clea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Materiales y métodos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maples de huevos fueron recolectados en la vía pública y en sitios de disposición informal de residuos sólidos urbanos.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Posteriormente fueron sometidos a un proceso de trituración mecánica hasta obtener una fibra homogénea.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Como aglutinante se empleó una formulación compuesta por:</w:t>
      </w:r>
    </w:p>
    <w:p w:rsidR="00000000" w:rsidDel="00000000" w:rsidP="00000000" w:rsidRDefault="00000000" w:rsidRPr="00000000" w14:paraId="00000015">
      <w:pPr>
        <w:numPr>
          <w:ilvl w:val="0"/>
          <w:numId w:val="1"/>
        </w:numPr>
        <w:spacing w:after="0" w:afterAutospacing="0" w:before="24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harina de almidón de mandioca</w:t>
      </w:r>
    </w:p>
    <w:p w:rsidR="00000000" w:rsidDel="00000000" w:rsidP="00000000" w:rsidRDefault="00000000" w:rsidRPr="00000000" w14:paraId="00000016">
      <w:pPr>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bicarbonato de sodio</w:t>
      </w:r>
    </w:p>
    <w:p w:rsidR="00000000" w:rsidDel="00000000" w:rsidP="00000000" w:rsidRDefault="00000000" w:rsidRPr="00000000" w14:paraId="00000017">
      <w:pPr>
        <w:numPr>
          <w:ilvl w:val="0"/>
          <w:numId w:val="1"/>
        </w:numPr>
        <w:spacing w:after="0" w:afterAutospacing="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vinagre blanco</w:t>
      </w:r>
    </w:p>
    <w:p w:rsidR="00000000" w:rsidDel="00000000" w:rsidP="00000000" w:rsidRDefault="00000000" w:rsidRPr="00000000" w14:paraId="00000018">
      <w:pPr>
        <w:numPr>
          <w:ilvl w:val="0"/>
          <w:numId w:val="1"/>
        </w:numPr>
        <w:spacing w:after="240" w:before="0" w:beforeAutospacing="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w:t>
      </w:r>
    </w:p>
    <w:p w:rsidR="00000000" w:rsidDel="00000000" w:rsidP="00000000" w:rsidRDefault="00000000" w:rsidRPr="00000000" w14:paraId="00000019">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mezcla fue prensada en moldes de dimensiones </w:t>
      </w:r>
      <w:r w:rsidDel="00000000" w:rsidR="00000000" w:rsidRPr="00000000">
        <w:rPr>
          <w:rFonts w:ascii="Calibri" w:cs="Calibri" w:eastAsia="Calibri" w:hAnsi="Calibri"/>
          <w:b w:val="1"/>
          <w:bCs w:val="1"/>
          <w:sz w:val="22"/>
          <w:szCs w:val="22"/>
          <w:rtl w:val="0"/>
        </w:rPr>
        <w:t xml:space="preserve">25 × 12 × 8,5 cm</w:t>
      </w:r>
      <w:r w:rsidDel="00000000" w:rsidR="00000000" w:rsidRPr="00000000">
        <w:rPr>
          <w:rFonts w:ascii="Calibri" w:cs="Calibri" w:eastAsia="Calibri" w:hAnsi="Calibri"/>
          <w:sz w:val="22"/>
          <w:szCs w:val="22"/>
          <w:rtl w:val="0"/>
        </w:rPr>
        <w:t xml:space="preserve">, obteniéndose ladrillos con un peso aproximado de </w:t>
      </w:r>
      <w:r w:rsidDel="00000000" w:rsidR="00000000" w:rsidRPr="00000000">
        <w:rPr>
          <w:rFonts w:ascii="Calibri" w:cs="Calibri" w:eastAsia="Calibri" w:hAnsi="Calibri"/>
          <w:b w:val="1"/>
          <w:bCs w:val="1"/>
          <w:sz w:val="22"/>
          <w:szCs w:val="22"/>
          <w:rtl w:val="0"/>
        </w:rPr>
        <w:t xml:space="preserve">800 g</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A">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curado se realizó mediante secado solar durante aproximadamente dos semanas.</w:t>
      </w:r>
    </w:p>
    <w:p w:rsidR="00000000" w:rsidDel="00000000" w:rsidP="00000000" w:rsidRDefault="00000000" w:rsidRPr="00000000" w14:paraId="0000001B">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paralelo, se desarrolló un mortero ecológico utilizando los mismos componentes, modificando únicamente la granulometría del material triturado para mejorar su comportamiento como mezcla de asiento.</w:t>
      </w:r>
    </w:p>
    <w:p w:rsidR="00000000" w:rsidDel="00000000" w:rsidP="00000000" w:rsidRDefault="00000000" w:rsidRPr="00000000" w14:paraId="0000001C">
      <w:pPr>
        <w:spacing w:after="240" w:before="240" w:lineRule="auto"/>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Las propiedades del ladrillo fueron evaluadas mediante ensayos desarrollados por el Laboratorio de Materiales y Estructuras (LABMAE) de la Facultad de Ingeniería de la Universidad Nacional del Nordeste, aplicando normas IRAM y ASTM.</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Resultados y discusión</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Ensayo 1:</w:t>
      </w:r>
      <w:r w:rsidDel="00000000" w:rsidR="00000000" w:rsidRPr="00000000">
        <w:rPr>
          <w:rFonts w:ascii="Calibri" w:cs="Calibri" w:eastAsia="Calibri" w:hAnsi="Calibri"/>
          <w:sz w:val="22"/>
          <w:szCs w:val="22"/>
          <w:rtl w:val="0"/>
        </w:rPr>
        <w:t xml:space="preserve"> Compresión </w:t>
      </w:r>
      <w:r w:rsidDel="00000000" w:rsidR="00000000" w:rsidRPr="00000000">
        <w:rPr>
          <w:rFonts w:ascii="Calibri" w:cs="Calibri" w:eastAsia="Calibri" w:hAnsi="Calibri"/>
          <w:b w:val="1"/>
          <w:bCs w:val="1"/>
          <w:sz w:val="22"/>
          <w:szCs w:val="22"/>
          <w:rtl w:val="0"/>
        </w:rPr>
        <w:t xml:space="preserve">Norma IRAM 11561-4. </w:t>
      </w:r>
      <w:r w:rsidDel="00000000" w:rsidR="00000000" w:rsidRPr="00000000">
        <w:rPr>
          <w:rFonts w:ascii="Calibri" w:cs="Calibri" w:eastAsia="Calibri" w:hAnsi="Calibri"/>
          <w:sz w:val="22"/>
          <w:szCs w:val="22"/>
          <w:rtl w:val="0"/>
        </w:rPr>
        <w:t xml:space="preserve">Resultado: </w:t>
      </w:r>
      <w:r w:rsidDel="00000000" w:rsidR="00000000" w:rsidRPr="00000000">
        <w:rPr>
          <w:rFonts w:ascii="Calibri" w:cs="Calibri" w:eastAsia="Calibri" w:hAnsi="Calibri"/>
          <w:b w:val="1"/>
          <w:bCs w:val="1"/>
          <w:sz w:val="22"/>
          <w:szCs w:val="22"/>
          <w:rtl w:val="0"/>
        </w:rPr>
        <w:t xml:space="preserve">0,64 MPa (6,38 kg/cm²)</w:t>
      </w:r>
      <w:r w:rsidDel="00000000" w:rsidR="00000000" w:rsidRPr="00000000">
        <w:rPr>
          <w:rFonts w:ascii="Calibri" w:cs="Calibri" w:eastAsia="Calibri" w:hAnsi="Calibri"/>
          <w:sz w:val="22"/>
          <w:szCs w:val="22"/>
          <w:rtl w:val="0"/>
        </w:rPr>
        <w:t xml:space="preserve">, comportamiento compatible con aplicaciones como mampuestos de cerramiento no portante. .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Ensayo 2: </w:t>
      </w:r>
      <w:r w:rsidDel="00000000" w:rsidR="00000000" w:rsidRPr="00000000">
        <w:rPr>
          <w:rFonts w:ascii="Calibri" w:cs="Calibri" w:eastAsia="Calibri" w:hAnsi="Calibri"/>
          <w:sz w:val="22"/>
          <w:szCs w:val="22"/>
          <w:rtl w:val="0"/>
        </w:rPr>
        <w:t xml:space="preserve">Conductividad Térmica</w:t>
      </w:r>
      <w:r w:rsidDel="00000000" w:rsidR="00000000" w:rsidRPr="00000000">
        <w:rPr>
          <w:rFonts w:ascii="Calibri" w:cs="Calibri" w:eastAsia="Calibri" w:hAnsi="Calibri"/>
          <w:b w:val="1"/>
          <w:bCs w:val="1"/>
          <w:sz w:val="22"/>
          <w:szCs w:val="22"/>
          <w:rtl w:val="0"/>
        </w:rPr>
        <w:t xml:space="preserve"> Norma IRAM 11559. </w:t>
      </w:r>
      <w:r w:rsidDel="00000000" w:rsidR="00000000" w:rsidRPr="00000000">
        <w:rPr>
          <w:rFonts w:ascii="Calibri" w:cs="Calibri" w:eastAsia="Calibri" w:hAnsi="Calibri"/>
          <w:sz w:val="22"/>
          <w:szCs w:val="22"/>
          <w:rtl w:val="0"/>
        </w:rPr>
        <w:t xml:space="preserve">Resultado:</w:t>
      </w:r>
      <w:r w:rsidDel="00000000" w:rsidR="00000000" w:rsidRPr="00000000">
        <w:rPr>
          <w:rFonts w:ascii="Calibri" w:cs="Calibri" w:eastAsia="Calibri" w:hAnsi="Calibri"/>
          <w:b w:val="1"/>
          <w:bCs w:val="1"/>
          <w:sz w:val="22"/>
          <w:szCs w:val="22"/>
          <w:rtl w:val="0"/>
        </w:rPr>
        <w:t xml:space="preserve">  0.304 W/m. K</w:t>
      </w:r>
      <w:r w:rsidDel="00000000" w:rsidR="00000000" w:rsidRPr="00000000">
        <w:rPr>
          <w:rFonts w:ascii="Calibri" w:cs="Calibri" w:eastAsia="Calibri" w:hAnsi="Calibri"/>
          <w:sz w:val="22"/>
          <w:szCs w:val="22"/>
          <w:rtl w:val="0"/>
        </w:rPr>
        <w:t xml:space="preserve">, material de excelente prestación térmica, superando ampliamente a materiales tradicionales de la construcción como el cemento o el ladrillo cerámico macizo, lo que reduce la necesidad de climatización artificial en la vivienda.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Ensayo 3: </w:t>
      </w:r>
      <w:r w:rsidDel="00000000" w:rsidR="00000000" w:rsidRPr="00000000">
        <w:rPr>
          <w:rFonts w:ascii="Calibri" w:cs="Calibri" w:eastAsia="Calibri" w:hAnsi="Calibri"/>
          <w:sz w:val="22"/>
          <w:szCs w:val="22"/>
          <w:rtl w:val="0"/>
        </w:rPr>
        <w:t xml:space="preserve">Aislación/absorción acústica:</w:t>
      </w:r>
      <w:r w:rsidDel="00000000" w:rsidR="00000000" w:rsidRPr="00000000">
        <w:rPr>
          <w:rFonts w:ascii="Calibri" w:cs="Calibri" w:eastAsia="Calibri" w:hAnsi="Calibri"/>
          <w:b w:val="1"/>
          <w:bCs w:val="1"/>
          <w:sz w:val="22"/>
          <w:szCs w:val="22"/>
          <w:rtl w:val="0"/>
        </w:rPr>
        <w:t xml:space="preserve">Norma ASTM1497-04. </w:t>
      </w:r>
      <w:r w:rsidDel="00000000" w:rsidR="00000000" w:rsidRPr="00000000">
        <w:rPr>
          <w:rFonts w:ascii="Calibri" w:cs="Calibri" w:eastAsia="Calibri" w:hAnsi="Calibri"/>
          <w:sz w:val="22"/>
          <w:szCs w:val="22"/>
          <w:rtl w:val="0"/>
        </w:rPr>
        <w:t xml:space="preserve">Resultado: El recubrimiento compacto a base de maples de huevo y aglutinante orgánico se valida como un sustituto directo y ecológico del poliestireno expandido (tergopor) para aplicaciones de aislamiento acústico en la edificación.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2">
      <w:pPr>
        <w:ind w:left="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23">
      <w:pPr>
        <w:ind w:firstLine="284"/>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4">
      <w:pPr>
        <w:ind w:left="360" w:firstLine="0"/>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Tabla 1</w:t>
      </w:r>
      <w:r w:rsidDel="00000000" w:rsidR="00000000" w:rsidRPr="00000000">
        <w:rPr>
          <w:rFonts w:ascii="Calibri" w:cs="Calibri" w:eastAsia="Calibri" w:hAnsi="Calibri"/>
          <w:sz w:val="22"/>
          <w:szCs w:val="22"/>
          <w:vertAlign w:val="baseline"/>
          <w:rtl w:val="0"/>
        </w:rPr>
        <w:t xml:space="preserve">. Concentración de As en solución (mg L</w:t>
      </w:r>
      <w:r w:rsidDel="00000000" w:rsidR="00000000" w:rsidRPr="00000000">
        <w:rPr>
          <w:rFonts w:ascii="Calibri" w:cs="Calibri" w:eastAsia="Calibri" w:hAnsi="Calibri"/>
          <w:sz w:val="22"/>
          <w:szCs w:val="22"/>
          <w:vertAlign w:val="superscript"/>
          <w:rtl w:val="0"/>
        </w:rPr>
        <w:t xml:space="preserve">-1</w:t>
      </w:r>
      <w:r w:rsidDel="00000000" w:rsidR="00000000" w:rsidRPr="00000000">
        <w:rPr>
          <w:rFonts w:ascii="Calibri" w:cs="Calibri" w:eastAsia="Calibri" w:hAnsi="Calibri"/>
          <w:sz w:val="22"/>
          <w:szCs w:val="22"/>
          <w:vertAlign w:val="baseline"/>
          <w:rtl w:val="0"/>
        </w:rPr>
        <w:t xml:space="preserve">) en lixiviados con agua y ácido acético (1311-TCLP) de los residuos tratados mediante E/S </w:t>
      </w:r>
    </w:p>
    <w:tbl>
      <w:tblPr>
        <w:tblStyle w:val="Table1"/>
        <w:tblW w:w="6095.999999999999" w:type="dxa"/>
        <w:jc w:val="center"/>
        <w:tblBorders>
          <w:top w:color="000000" w:space="0" w:sz="12" w:val="single"/>
          <w:left w:color="000000" w:space="0" w:sz="0" w:val="nil"/>
          <w:bottom w:color="000000" w:space="0" w:sz="12" w:val="single"/>
          <w:right w:color="000000" w:space="0" w:sz="0" w:val="nil"/>
          <w:insideH w:color="000000" w:space="0" w:sz="0" w:val="nil"/>
          <w:insideV w:color="000000" w:space="0" w:sz="0" w:val="nil"/>
        </w:tblBorders>
        <w:tblLayout w:type="fixed"/>
        <w:tblLook w:val="0000"/>
      </w:tblPr>
      <w:tblGrid>
        <w:gridCol w:w="1985"/>
        <w:gridCol w:w="1984"/>
        <w:gridCol w:w="2127"/>
        <w:tblGridChange w:id="0">
          <w:tblGrid>
            <w:gridCol w:w="1985"/>
            <w:gridCol w:w="1984"/>
            <w:gridCol w:w="2127"/>
          </w:tblGrid>
        </w:tblGridChange>
      </w:tblGrid>
      <w:tr>
        <w:trPr>
          <w:cantSplit w:val="0"/>
          <w:trHeight w:val="302" w:hRule="atLeast"/>
          <w:tblHeader w:val="0"/>
        </w:trPr>
        <w:tc>
          <w:tcPr>
            <w:tcBorders>
              <w:bottom w:color="000000" w:space="0" w:sz="6" w:val="single"/>
              <w:right w:color="000000" w:space="0" w:sz="6" w:val="single"/>
            </w:tcBorders>
            <w:vAlign w:val="top"/>
          </w:tcPr>
          <w:p w:rsidR="00000000" w:rsidDel="00000000" w:rsidP="00000000" w:rsidRDefault="00000000" w:rsidRPr="00000000" w14:paraId="00000025">
            <w:pPr>
              <w:ind w:firstLine="284"/>
              <w:jc w:val="center"/>
              <w:rPr>
                <w:rFonts w:ascii="Calibri" w:cs="Calibri" w:eastAsia="Calibri" w:hAnsi="Calibri"/>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Muestra</w:t>
            </w: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026">
            <w:pPr>
              <w:ind w:firstLine="284"/>
              <w:jc w:val="center"/>
              <w:rPr>
                <w:rFonts w:ascii="Calibri" w:cs="Calibri" w:eastAsia="Calibri" w:hAnsi="Calibri"/>
                <w:b w:val="0"/>
                <w:bCs w:val="0"/>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Agua</w:t>
            </w:r>
            <w:r w:rsidDel="00000000" w:rsidR="00000000" w:rsidRPr="00000000">
              <w:rPr>
                <w:rtl w:val="0"/>
              </w:rPr>
            </w:r>
          </w:p>
          <w:p w:rsidR="00000000" w:rsidDel="00000000" w:rsidP="00000000" w:rsidRDefault="00000000" w:rsidRPr="00000000" w14:paraId="00000027">
            <w:pPr>
              <w:ind w:firstLine="284"/>
              <w:jc w:val="center"/>
              <w:rPr>
                <w:rFonts w:ascii="Calibri" w:cs="Calibri" w:eastAsia="Calibri" w:hAnsi="Calibri"/>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 (mg L</w:t>
            </w:r>
            <w:r w:rsidDel="00000000" w:rsidR="00000000" w:rsidRPr="00000000">
              <w:rPr>
                <w:rFonts w:ascii="Calibri" w:cs="Calibri" w:eastAsia="Calibri" w:hAnsi="Calibri"/>
                <w:b w:val="1"/>
                <w:bCs w:val="1"/>
                <w:i w:val="1"/>
                <w:iCs w:val="1"/>
                <w:sz w:val="22"/>
                <w:szCs w:val="22"/>
                <w:vertAlign w:val="superscript"/>
                <w:rtl w:val="0"/>
              </w:rPr>
              <w:t xml:space="preserve">-1</w:t>
            </w:r>
            <w:r w:rsidDel="00000000" w:rsidR="00000000" w:rsidRPr="00000000">
              <w:rPr>
                <w:rFonts w:ascii="Calibri" w:cs="Calibri" w:eastAsia="Calibri" w:hAnsi="Calibri"/>
                <w:b w:val="1"/>
                <w:bCs w:val="1"/>
                <w:i w:val="1"/>
                <w:iCs w:val="1"/>
                <w:sz w:val="22"/>
                <w:szCs w:val="22"/>
                <w:vertAlign w:val="baseline"/>
                <w:rtl w:val="0"/>
              </w:rPr>
              <w:t xml:space="preserve"> As)</w:t>
            </w:r>
            <w:r w:rsidDel="00000000" w:rsidR="00000000" w:rsidRPr="00000000">
              <w:rPr>
                <w:rtl w:val="0"/>
              </w:rPr>
            </w:r>
          </w:p>
        </w:tc>
        <w:tc>
          <w:tcPr>
            <w:tcBorders>
              <w:bottom w:color="000000" w:space="0" w:sz="6" w:val="single"/>
            </w:tcBorders>
            <w:vAlign w:val="top"/>
          </w:tcPr>
          <w:p w:rsidR="00000000" w:rsidDel="00000000" w:rsidP="00000000" w:rsidRDefault="00000000" w:rsidRPr="00000000" w14:paraId="00000028">
            <w:pPr>
              <w:ind w:firstLine="284"/>
              <w:jc w:val="center"/>
              <w:rPr>
                <w:rFonts w:ascii="Calibri" w:cs="Calibri" w:eastAsia="Calibri" w:hAnsi="Calibri"/>
                <w:b w:val="0"/>
                <w:bCs w:val="0"/>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TCLP-1311</w:t>
            </w:r>
            <w:r w:rsidDel="00000000" w:rsidR="00000000" w:rsidRPr="00000000">
              <w:rPr>
                <w:rtl w:val="0"/>
              </w:rPr>
            </w:r>
          </w:p>
          <w:p w:rsidR="00000000" w:rsidDel="00000000" w:rsidP="00000000" w:rsidRDefault="00000000" w:rsidRPr="00000000" w14:paraId="00000029">
            <w:pPr>
              <w:ind w:firstLine="284"/>
              <w:jc w:val="center"/>
              <w:rPr>
                <w:rFonts w:ascii="Calibri" w:cs="Calibri" w:eastAsia="Calibri" w:hAnsi="Calibri"/>
                <w:i w:val="0"/>
                <w:iCs w:val="0"/>
                <w:sz w:val="22"/>
                <w:szCs w:val="22"/>
                <w:vertAlign w:val="baseline"/>
              </w:rPr>
            </w:pPr>
            <w:r w:rsidDel="00000000" w:rsidR="00000000" w:rsidRPr="00000000">
              <w:rPr>
                <w:rFonts w:ascii="Calibri" w:cs="Calibri" w:eastAsia="Calibri" w:hAnsi="Calibri"/>
                <w:b w:val="1"/>
                <w:bCs w:val="1"/>
                <w:i w:val="1"/>
                <w:iCs w:val="1"/>
                <w:sz w:val="22"/>
                <w:szCs w:val="22"/>
                <w:vertAlign w:val="baseline"/>
                <w:rtl w:val="0"/>
              </w:rPr>
              <w:t xml:space="preserve">(mg L</w:t>
            </w:r>
            <w:r w:rsidDel="00000000" w:rsidR="00000000" w:rsidRPr="00000000">
              <w:rPr>
                <w:rFonts w:ascii="Calibri" w:cs="Calibri" w:eastAsia="Calibri" w:hAnsi="Calibri"/>
                <w:b w:val="1"/>
                <w:bCs w:val="1"/>
                <w:i w:val="1"/>
                <w:iCs w:val="1"/>
                <w:sz w:val="22"/>
                <w:szCs w:val="22"/>
                <w:vertAlign w:val="superscript"/>
                <w:rtl w:val="0"/>
              </w:rPr>
              <w:t xml:space="preserve">-1</w:t>
            </w:r>
            <w:r w:rsidDel="00000000" w:rsidR="00000000" w:rsidRPr="00000000">
              <w:rPr>
                <w:rFonts w:ascii="Calibri" w:cs="Calibri" w:eastAsia="Calibri" w:hAnsi="Calibri"/>
                <w:b w:val="1"/>
                <w:bCs w:val="1"/>
                <w:i w:val="1"/>
                <w:iCs w:val="1"/>
                <w:sz w:val="22"/>
                <w:szCs w:val="22"/>
                <w:vertAlign w:val="baseline"/>
                <w:rtl w:val="0"/>
              </w:rPr>
              <w:t xml:space="preserve"> As)</w:t>
            </w:r>
            <w:r w:rsidDel="00000000" w:rsidR="00000000" w:rsidRPr="00000000">
              <w:rPr>
                <w:rtl w:val="0"/>
              </w:rPr>
            </w:r>
          </w:p>
        </w:tc>
      </w:tr>
      <w:tr>
        <w:trPr>
          <w:cantSplit w:val="0"/>
          <w:trHeight w:val="205" w:hRule="atLeast"/>
          <w:tblHeader w:val="0"/>
        </w:trPr>
        <w:tc>
          <w:tcPr>
            <w:tcBorders>
              <w:right w:color="000000" w:space="0" w:sz="6" w:val="single"/>
            </w:tcBorders>
            <w:vAlign w:val="top"/>
          </w:tcPr>
          <w:p w:rsidR="00000000" w:rsidDel="00000000" w:rsidP="00000000" w:rsidRDefault="00000000" w:rsidRPr="00000000" w14:paraId="0000002A">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R1</w:t>
            </w:r>
            <w:r w:rsidDel="00000000" w:rsidR="00000000" w:rsidRPr="00000000">
              <w:rPr>
                <w:rtl w:val="0"/>
              </w:rPr>
            </w:r>
          </w:p>
        </w:tc>
        <w:tc>
          <w:tcPr>
            <w:vAlign w:val="top"/>
          </w:tcPr>
          <w:p w:rsidR="00000000" w:rsidDel="00000000" w:rsidP="00000000" w:rsidRDefault="00000000" w:rsidRPr="00000000" w14:paraId="0000002B">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&lt; 0,10 </w:t>
            </w:r>
          </w:p>
        </w:tc>
        <w:tc>
          <w:tcPr>
            <w:vAlign w:val="top"/>
          </w:tcPr>
          <w:p w:rsidR="00000000" w:rsidDel="00000000" w:rsidP="00000000" w:rsidRDefault="00000000" w:rsidRPr="00000000" w14:paraId="0000002C">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0,16 ± 0,04</w:t>
            </w:r>
          </w:p>
        </w:tc>
      </w:tr>
      <w:tr>
        <w:trPr>
          <w:cantSplit w:val="0"/>
          <w:trHeight w:val="222" w:hRule="atLeast"/>
          <w:tblHeader w:val="0"/>
        </w:trPr>
        <w:tc>
          <w:tcPr>
            <w:tcBorders>
              <w:right w:color="000000" w:space="0" w:sz="6" w:val="single"/>
            </w:tcBorders>
            <w:vAlign w:val="top"/>
          </w:tcPr>
          <w:p w:rsidR="00000000" w:rsidDel="00000000" w:rsidP="00000000" w:rsidRDefault="00000000" w:rsidRPr="00000000" w14:paraId="0000002D">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R2</w:t>
            </w:r>
            <w:r w:rsidDel="00000000" w:rsidR="00000000" w:rsidRPr="00000000">
              <w:rPr>
                <w:rtl w:val="0"/>
              </w:rPr>
            </w:r>
          </w:p>
        </w:tc>
        <w:tc>
          <w:tcPr>
            <w:vAlign w:val="top"/>
          </w:tcPr>
          <w:p w:rsidR="00000000" w:rsidDel="00000000" w:rsidP="00000000" w:rsidRDefault="00000000" w:rsidRPr="00000000" w14:paraId="0000002E">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&lt; 0,10</w:t>
            </w:r>
          </w:p>
        </w:tc>
        <w:tc>
          <w:tcPr>
            <w:vAlign w:val="top"/>
          </w:tcPr>
          <w:p w:rsidR="00000000" w:rsidDel="00000000" w:rsidP="00000000" w:rsidRDefault="00000000" w:rsidRPr="00000000" w14:paraId="0000002F">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0,22 ± 0,07</w:t>
            </w:r>
          </w:p>
        </w:tc>
      </w:tr>
      <w:tr>
        <w:trPr>
          <w:cantSplit w:val="0"/>
          <w:trHeight w:val="206" w:hRule="atLeast"/>
          <w:tblHeader w:val="0"/>
        </w:trPr>
        <w:tc>
          <w:tcPr>
            <w:tcBorders>
              <w:right w:color="000000" w:space="0" w:sz="6" w:val="single"/>
            </w:tcBorders>
            <w:vAlign w:val="top"/>
          </w:tcPr>
          <w:p w:rsidR="00000000" w:rsidDel="00000000" w:rsidP="00000000" w:rsidRDefault="00000000" w:rsidRPr="00000000" w14:paraId="00000030">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b w:val="1"/>
                <w:bCs w:val="1"/>
                <w:sz w:val="22"/>
                <w:szCs w:val="22"/>
                <w:vertAlign w:val="baseline"/>
                <w:rtl w:val="0"/>
              </w:rPr>
              <w:t xml:space="preserve">R3 13,3%</w:t>
            </w:r>
            <w:r w:rsidDel="00000000" w:rsidR="00000000" w:rsidRPr="00000000">
              <w:rPr>
                <w:rtl w:val="0"/>
              </w:rPr>
            </w:r>
          </w:p>
        </w:tc>
        <w:tc>
          <w:tcPr>
            <w:vAlign w:val="top"/>
          </w:tcPr>
          <w:p w:rsidR="00000000" w:rsidDel="00000000" w:rsidP="00000000" w:rsidRDefault="00000000" w:rsidRPr="00000000" w14:paraId="00000031">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0,26 ± 0,04</w:t>
            </w:r>
          </w:p>
        </w:tc>
        <w:tc>
          <w:tcPr>
            <w:vAlign w:val="top"/>
          </w:tcPr>
          <w:p w:rsidR="00000000" w:rsidDel="00000000" w:rsidP="00000000" w:rsidRDefault="00000000" w:rsidRPr="00000000" w14:paraId="00000032">
            <w:pPr>
              <w:ind w:firstLine="284"/>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0,8 ± 0,4</w:t>
            </w:r>
          </w:p>
        </w:tc>
      </w:tr>
    </w:tbl>
    <w:p w:rsidR="00000000" w:rsidDel="00000000" w:rsidP="00000000" w:rsidRDefault="00000000" w:rsidRPr="00000000" w14:paraId="00000033">
      <w:pPr>
        <w:ind w:firstLine="284"/>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4">
      <w:pPr>
        <w:ind w:firstLine="284"/>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Las fórmulas y ecuaciones se numerarán correlativamente en forma independiente de las figuras, tablas, cuadros, etc. según su orden de aparición en el texto. Todas las fórmulas tienen que ser editables, no se aceptan fórmulas como imágenes pegadas.</w:t>
      </w:r>
    </w:p>
    <w:p w:rsidR="00000000" w:rsidDel="00000000" w:rsidP="00000000" w:rsidRDefault="00000000" w:rsidRPr="00000000" w14:paraId="00000035">
      <w:pPr>
        <w:ind w:firstLine="284"/>
        <w:jc w:val="both"/>
        <w:rPr>
          <w:rFonts w:ascii="Calibri" w:cs="Calibri" w:eastAsia="Calibri" w:hAnsi="Calibri"/>
          <w:sz w:val="22"/>
          <w:szCs w:val="22"/>
          <w:vertAlign w:val="baseline"/>
        </w:rPr>
      </w:pPr>
      <w:bookmarkStart w:colFirst="0" w:colLast="0" w:name="_heading=h.byl6x0y279k0" w:id="0"/>
      <w:bookmarkEnd w:id="0"/>
      <w:r w:rsidDel="00000000" w:rsidR="00000000" w:rsidRPr="00000000">
        <w:rPr>
          <w:rtl w:val="0"/>
        </w:rPr>
      </w:r>
    </w:p>
    <w:p w:rsidR="00000000" w:rsidDel="00000000" w:rsidP="00000000" w:rsidRDefault="00000000" w:rsidRPr="00000000" w14:paraId="00000036">
      <w:pPr>
        <w:spacing w:line="480" w:lineRule="auto"/>
        <w:ind w:firstLine="284"/>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Pr>
        <w:drawing>
          <wp:inline distB="0" distT="0" distL="114300" distR="114300">
            <wp:extent cx="1162050" cy="2794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62050" cy="279400"/>
                    </a:xfrm>
                    <a:prstGeom prst="rect"/>
                    <a:ln/>
                  </pic:spPr>
                </pic:pic>
              </a:graphicData>
            </a:graphic>
          </wp:inline>
        </w:drawing>
      </w:r>
      <w:r w:rsidDel="00000000" w:rsidR="00000000" w:rsidRPr="00000000">
        <w:rPr>
          <w:rFonts w:ascii="Calibri" w:cs="Calibri" w:eastAsia="Calibri" w:hAnsi="Calibri"/>
          <w:sz w:val="22"/>
          <w:szCs w:val="22"/>
          <w:vertAlign w:val="baseline"/>
        </w:rPr>
        <w:drawing>
          <wp:inline distB="0" distT="0" distL="114300" distR="114300">
            <wp:extent cx="1162050" cy="27940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162050" cy="279400"/>
                    </a:xfrm>
                    <a:prstGeom prst="rect"/>
                    <a:ln/>
                  </pic:spPr>
                </pic:pic>
              </a:graphicData>
            </a:graphic>
          </wp:inline>
        </w:drawing>
      </w:r>
      <w:r w:rsidDel="00000000" w:rsidR="00000000" w:rsidRPr="00000000">
        <w:rPr>
          <w:rFonts w:ascii="Calibri" w:cs="Calibri" w:eastAsia="Calibri" w:hAnsi="Calibri"/>
          <w:sz w:val="22"/>
          <w:szCs w:val="22"/>
          <w:vertAlign w:val="baseline"/>
          <w:rtl w:val="0"/>
        </w:rPr>
        <w:tab/>
        <w:tab/>
        <w:tab/>
        <w:tab/>
        <w:tab/>
        <w:tab/>
        <w:tab/>
      </w:r>
      <w:bookmarkStart w:colFirst="0" w:colLast="0" w:name="bookmark=id.ky1mkswcnzmj" w:id="1"/>
      <w:bookmarkEnd w:id="1"/>
      <w:r w:rsidDel="00000000" w:rsidR="00000000" w:rsidRPr="00000000">
        <w:rPr>
          <w:rFonts w:ascii="Calibri" w:cs="Calibri" w:eastAsia="Calibri" w:hAnsi="Calibri"/>
          <w:sz w:val="22"/>
          <w:szCs w:val="22"/>
          <w:vertAlign w:val="baseline"/>
          <w:rtl w:val="0"/>
        </w:rPr>
        <w:t xml:space="preserve">(1)</w:t>
      </w:r>
    </w:p>
    <w:p w:rsidR="00000000" w:rsidDel="00000000" w:rsidP="00000000" w:rsidRDefault="00000000" w:rsidRPr="00000000" w14:paraId="00000037">
      <w:pPr>
        <w:ind w:firstLine="284"/>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En el texto, la referencia a las figuras, tablas fórmulas deberá hacerse explícitamente, utilizando la palabra respectiva completa seguida de un espacio y el numeral correspondiente. Ejemplo: “...en la Figura 1 puede verse...” ;   “...en la Tabla 10 puede verse...”; “...en la fórmula 5 puede verse…”.</w:t>
      </w:r>
    </w:p>
    <w:p w:rsidR="00000000" w:rsidDel="00000000" w:rsidP="00000000" w:rsidRDefault="00000000" w:rsidRPr="00000000" w14:paraId="00000038">
      <w:pPr>
        <w:ind w:firstLine="284"/>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Conclusiones</w:t>
      </w:r>
    </w:p>
    <w:p w:rsidR="00000000" w:rsidDel="00000000" w:rsidP="00000000" w:rsidRDefault="00000000" w:rsidRPr="00000000" w14:paraId="0000003A">
      <w:pPr>
        <w:shd w:fill="ffffff" w:val="clear"/>
        <w:ind w:firstLine="425"/>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La valorización de maples de huevos permitió desarrollar un sistema constructivo sustentable con potencial aplicación en edificaciones de bajo impacto ambiental</w:t>
      </w:r>
      <w:r w:rsidDel="00000000" w:rsidR="00000000" w:rsidRPr="00000000">
        <w:rPr>
          <w:rtl w:val="0"/>
        </w:rPr>
      </w:r>
    </w:p>
    <w:p w:rsidR="00000000" w:rsidDel="00000000" w:rsidP="00000000" w:rsidRDefault="00000000" w:rsidRPr="00000000" w14:paraId="0000003B">
      <w:pPr>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sz w:val="18"/>
          <w:szCs w:val="18"/>
          <w:vertAlign w:val="baseline"/>
        </w:rPr>
      </w:pPr>
      <w:r w:rsidDel="00000000" w:rsidR="00000000" w:rsidRPr="00000000">
        <w:rPr>
          <w:rtl w:val="0"/>
        </w:rPr>
      </w:r>
    </w:p>
    <w:sectPr>
      <w:headerReference r:id="rId8" w:type="default"/>
      <w:headerReference r:id="rId9" w:type="first"/>
      <w:headerReference r:id="rId10" w:type="even"/>
      <w:footerReference r:id="rId11" w:type="first"/>
      <w:footerReference r:id="rId12" w:type="even"/>
      <w:pgSz w:h="16840" w:w="11907" w:orient="portrait"/>
      <w:pgMar w:bottom="1134" w:top="1134" w:left="1418" w:right="1134" w:header="5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401820" cy="1295400"/>
          <wp:effectExtent b="0" l="0" r="0" t="0"/>
          <wp:docPr descr="C:\Users\CELENE\Desktop\Celene\UNSL\IBA-AA 2023\LogoCongreso2023.jpeg" id="3" name="image5.jpg"/>
          <a:graphic>
            <a:graphicData uri="http://schemas.openxmlformats.org/drawingml/2006/picture">
              <pic:pic>
                <pic:nvPicPr>
                  <pic:cNvPr descr="C:\Users\CELENE\Desktop\Celene\UNSL\IBA-AA 2023\LogoCongreso2023.jpeg" id="0" name="image5.jpg"/>
                  <pic:cNvPicPr preferRelativeResize="0"/>
                </pic:nvPicPr>
                <pic:blipFill>
                  <a:blip r:embed="rId1"/>
                  <a:srcRect b="0" l="0" r="0" t="0"/>
                  <a:stretch>
                    <a:fillRect/>
                  </a:stretch>
                </pic:blipFill>
                <pic:spPr>
                  <a:xfrm>
                    <a:off x="0" y="0"/>
                    <a:ext cx="440182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jc w:val="center"/>
      <w:rPr>
        <w:b w:val="0"/>
        <w:bCs w:val="0"/>
        <w:i w:val="0"/>
        <w:iCs w:val="0"/>
        <w:color w:val="000000"/>
        <w:vertAlign w:val="baseline"/>
      </w:rPr>
    </w:pPr>
    <w:r w:rsidDel="00000000" w:rsidR="00000000" w:rsidRPr="00000000">
      <w:rPr>
        <w:b w:val="1"/>
        <w:bCs w:val="1"/>
        <w:i w:val="1"/>
        <w:iCs w:val="1"/>
        <w:color w:val="000000"/>
        <w:vertAlign w:val="baseline"/>
        <w:rtl w:val="0"/>
      </w:rPr>
      <w:t xml:space="preserve">Ambiente y Adsorción integrados para la comprensión y solución de problemas específicos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9355"/>
      </w:tabs>
      <w:spacing w:after="0" w:before="0" w:line="240" w:lineRule="auto"/>
      <w:ind w:left="-709"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814830" cy="907415"/>
          <wp:effectExtent b="0" l="0" r="0" t="0"/>
          <wp:docPr id="6"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a:off x="0" y="0"/>
                    <a:ext cx="1814830" cy="90741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1</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superscript"/>
        <w:rtl w:val="0"/>
      </w:rPr>
      <w:t xml:space="preserve">er</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Congreso Argentino Ambiental UTN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5011420</wp:posOffset>
          </wp:positionH>
          <wp:positionV relativeFrom="paragraph">
            <wp:posOffset>97155</wp:posOffset>
          </wp:positionV>
          <wp:extent cx="1314450" cy="463550"/>
          <wp:effectExtent b="0" l="0" r="0" t="0"/>
          <wp:wrapNone/>
          <wp:docPr descr="Gistaq_sinfondo" id="4" name="image2.png"/>
          <a:graphic>
            <a:graphicData uri="http://schemas.openxmlformats.org/drawingml/2006/picture">
              <pic:pic>
                <pic:nvPicPr>
                  <pic:cNvPr descr="Gistaq_sinfondo" id="0" name="image2.png"/>
                  <pic:cNvPicPr preferRelativeResize="0"/>
                </pic:nvPicPr>
                <pic:blipFill>
                  <a:blip r:embed="rId2"/>
                  <a:srcRect b="0" l="0" r="0" t="0"/>
                  <a:stretch>
                    <a:fillRect/>
                  </a:stretch>
                </pic:blipFill>
                <pic:spPr>
                  <a:xfrm>
                    <a:off x="0" y="0"/>
                    <a:ext cx="1314450" cy="463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3595370</wp:posOffset>
          </wp:positionH>
          <wp:positionV relativeFrom="paragraph">
            <wp:posOffset>122555</wp:posOffset>
          </wp:positionV>
          <wp:extent cx="1308100" cy="438150"/>
          <wp:effectExtent b="0" l="0" r="0" t="0"/>
          <wp:wrapNone/>
          <wp:docPr id="7"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1308100" cy="4381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2820670</wp:posOffset>
          </wp:positionH>
          <wp:positionV relativeFrom="paragraph">
            <wp:posOffset>78105</wp:posOffset>
          </wp:positionV>
          <wp:extent cx="485775" cy="584200"/>
          <wp:effectExtent b="0" l="0" r="0" t="0"/>
          <wp:wrapNone/>
          <wp:docPr id="5" name="image7.png"/>
          <a:graphic>
            <a:graphicData uri="http://schemas.openxmlformats.org/drawingml/2006/picture">
              <pic:pic>
                <pic:nvPicPr>
                  <pic:cNvPr id="0" name="image7.png"/>
                  <pic:cNvPicPr preferRelativeResize="0"/>
                </pic:nvPicPr>
                <pic:blipFill>
                  <a:blip r:embed="rId4"/>
                  <a:srcRect b="0" l="0" r="0" t="0"/>
                  <a:stretch>
                    <a:fillRect/>
                  </a:stretch>
                </pic:blipFill>
                <pic:spPr>
                  <a:xfrm>
                    <a:off x="0" y="0"/>
                    <a:ext cx="485775" cy="584200"/>
                  </a:xfrm>
                  <a:prstGeom prst="rect"/>
                  <a:ln/>
                </pic:spPr>
              </pic:pic>
            </a:graphicData>
          </a:graphic>
        </wp:anchor>
      </w:drawing>
    </w:r>
  </w:p>
  <w:p w:rsidR="00000000" w:rsidDel="00000000" w:rsidP="00000000" w:rsidRDefault="00000000" w:rsidRPr="00000000" w14:paraId="00000042">
    <w:pPr>
      <w:jc w:val="center"/>
      <w:rPr>
        <w:rFonts w:ascii="Calibri" w:cs="Calibri" w:eastAsia="Calibri" w:hAnsi="Calibri"/>
        <w:b w:val="0"/>
        <w:bCs w:val="0"/>
        <w:i w:val="0"/>
        <w:iCs w:val="0"/>
        <w:color w:val="000000"/>
        <w:sz w:val="22"/>
        <w:szCs w:val="22"/>
        <w:vertAlign w:val="baseline"/>
      </w:rPr>
    </w:pPr>
    <w:r w:rsidDel="00000000" w:rsidR="00000000" w:rsidRPr="00000000">
      <w:rPr>
        <w:rFonts w:ascii="Calibri" w:cs="Calibri" w:eastAsia="Calibri" w:hAnsi="Calibri"/>
        <w:b w:val="1"/>
        <w:bCs w:val="1"/>
        <w:i w:val="1"/>
        <w:iCs w:val="1"/>
        <w:color w:val="000000"/>
        <w:sz w:val="22"/>
        <w:szCs w:val="22"/>
        <w:vertAlign w:val="baseline"/>
        <w:rtl w:val="0"/>
      </w:rPr>
      <w:t xml:space="preserve">Retos, Contingencias y Oportunidades para el Desarrollo Sostenible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 Id="rId2" Type="http://schemas.openxmlformats.org/officeDocument/2006/relationships/image" Target="media/image2.png"/><Relationship Id="rId3"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WWAINNmRQB6LOukM2wCcJeVw==">CgMxLjAyDmguYnlsNngweTI3OWswMg9pZC5reTFta3N3Y256bWo4AHIhMTZfUEdTblZBeENSSHlDSXg4SU52U3ZsYVRnTUFMal9r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